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pPr>
      <w:bookmarkStart w:id="9" w:name="_GoBack"/>
      <w:r>
        <w:t>临时用电培训内容及试卷</w:t>
      </w:r>
      <w:bookmarkEnd w:id="9"/>
      <w:r>
        <w:t>（附答案） -</w:t>
      </w:r>
    </w:p>
    <w:p>
      <w:pPr>
        <w:pStyle w:val="24"/>
      </w:pPr>
      <w:r>
        <w:t xml:space="preserve"> </w:t>
      </w:r>
    </w:p>
    <w:p>
      <w:pPr>
        <w:pStyle w:val="24"/>
      </w:pPr>
      <w:r>
        <w:t xml:space="preserve"> </w:t>
      </w:r>
    </w:p>
    <w:p>
      <w:pPr>
        <w:pStyle w:val="24"/>
      </w:pP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临时用电安全培训试题（附答案）</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临时用电安全培训内容</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 xml:space="preserve">  单位   姓名：     成绩：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1．  选择题（每题 2 分）</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1 、施工现场专用的，电源中性点直接接地的 220/380V 三相四线制用电工程中必须采用的接地保护形式是（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A ． TN B ． TN-S C ． TN-C D ． TT</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2 、电气设备或电气线路发生火灾时，通常首先要设法（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A ．切断电源  B ．全力灭火  C ．转移物资  D ．拨打 119 火灾报警电话</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3 、在建工程（含脚手架）的周边与 10KV 外电架空线路的边线之间的最小安全操作距离是（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A ． 4 B ． 6 C ． 8 D ． 10</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4 、电缆直接埋地敷设的深度不应小于（   ）米。</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A ． 0.5 B ． 0.6 C ． 0.7 D ． 0.8</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5 、从事特种作业的人员，必须经过（   ）并取得特种作业资格。</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A 、健康检查  B 、重新登记  C 、专门培训  D 安全教育</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6 、 TN—S 五线制配电线路中，保护零线截面不小于相线截面的（   ）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A 、 30 B 、 50 C 、 60 D 、 80</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7 、开关箱周围不准堆放杂物，与被控制的固定电气设备水平距离不超过（   ），以便发生故障时及时切断电源。</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A 、 3m B 、 3.5m C 、 4m D 、 4.5m</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8 、电缆穿越构筑物、道路，易受机械损伤的场所应埋地（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A 、  0.5m B 、 1m C 、 0.2m D 、 0.7m</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9 、 TN-S  表示（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A ．工作零线与保护零线分开设置的接零保护系统。</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B ．工作零线与保护零线合一设置的接零保护系统。</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C ．工作零线与保护零线前一部分合一，后一部分分开设置的接零保护系统。</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D ．保护零线。</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10 、施工现场临时用电设备总容量在（   ） kW 及以上者应编制用电组织设计。</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A ． 50 B ． 60 C ． 80 D ． 100</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2.  填空题（每空 2 分）</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1. 配电柜后面的维护通道宽度，单列布置或双列布置布小于   ，双列背对背布置不小于   ，个别地点有建筑物结构突出的地方，则此点通道宽度可减少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2.TN 系统中的保护零线除必须在配电室或总配电箱处做重复接地外，还必须在配电系统的处   和   处做重复接地。在 TN 系统中，保护零线每一处重复接地装置的接地电阻值不应大于   Ω。</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3. 临时用电 , 执行三相五线制和三级配电两级保护 , 并由专职电工进行</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 xml:space="preserve">  、   和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4. 电工作业必须经专业   ， 考试合格，持     方准上岗独立操作。非电工严禁进行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5. 电工作业时，必须穿   、戴   ，酒后不准操作。</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6. 露天使用的电气设备，应有良好的防雨性能或有可靠的防雨设施。配电箱必须   、   、   。 使用中的配电箱内禁止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7. 电气设备的金属外壳必须   或   。 保护零线必须通过零线端子板连接。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3.  判断题（每题两分）</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1 、使用电器设备，作业完毕操作人员离开时，必须拉闸断电。（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2 、施工现场开关箱的安装和使用，要求是按一机、一闸、一漏电保护器及自己专用的开关箱使用，不准混用。（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3 、移动开关箱可以由总配电箱配电。（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4 、安装在建筑物或构筑物上的配电箱为固定式配电箱，其箱底距地面的垂直距离应大于 1.3m ，小于 1.4m 。（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5 、宿舍内、地下室照明均采用 36 伏低压电（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6 、电气设备及灯具的金属外壳必须与专用保护零线连接。（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7 、配电箱内多路配电，应有用电设备标记。（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8 、必须在保护零线首端（配电房）、现场中端、末端设置重复接地，其接地电阻不大于 10 欧。（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9 、每台用电设备应有各自专用的开关箱，必须实行   “   一机一箱一闸一漏”制，同一个开关电器可以控制二台及二台以上用电设备。（   ）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10. 施工现场每个层面必须配备具有安全性的各式配电箱并做好防护笼 , 旁边应摆放专业 ( 电器 ) 灭火设备（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4.  简答题 ( 每题 10 分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1. 发生人身触电时，应如何处理？</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2. 施工现场临时用电建立安全技术档案包括哪些内容？</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选择题：  1-5 BABCC 6-10 BADAA</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填空题：</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1.0.8m 1.5m 0.2m</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 xml:space="preserve">2. 中间   末端  10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3. 敷设、检查、维护</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4. 安全技术培训   《特种作业操作证》   电气作业</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5. 绝缘鞋   绝缘手套</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6. 牢固、完整、严密   放置杂物</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7. 接地   接零</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判断题：对对错错对   对对对错对</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简答题</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1.  必须先拉闸断电，然后把伤者移到安全的地方进行人工抢救，并拔打 120 急救电话</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 xml:space="preserve">2.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1. 用电组织设计的安全资料；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2. 修改用电组织设计的资料；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3. 用电技术交底资料；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4. 用电工程检查验收表；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5. 电气设备的试、检验凭单和调试记录；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6. 接地电阻、绝缘电阻和漏电保护器漏电动作参数测定记录表；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7. 定期检 ( 复 ) 查表；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8. 电工安装、巡检、维修、拆除工作记录。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施工现场临时用电安全培训</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术语解释 —— 施工现场临时用电是指临时电力线路、安装的各种电气、配电箱、提供的机械设备动力源和照明，必须执行 JGJ46-2005 /J405-2005 《施工现场临时用电安全技术规范》（以下简称《 JGJ46-2005 规范》），施工完毕必须拆除。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一、管理制度：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1 、非专业电工严禁拆改、安装用电设施和用电线路，工地临时用电及其相关作业应由持合格有效的专业电工进行 ;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2 、施工现场每个层面必须配备具有安全性的各式配电箱并做好防护笼 , 旁边应摆放专业 ( 电器 ) 灭火设备 ; 3 、临时用电 , 执行三相五线制和三级配电两级保护 , 并由专职电工进行敷设、检查和维护 ; 4 、施工现场临时用电必须建立安全技术档案，并应包括下列内容：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  1  用电组织设计的安全资料；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 2  修改用电组织设计的资料；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 3  用电技术交底资料；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 4  用电工程检查验收表；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 5  电气设备的试、检验凭单和调试记录；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 6  接地电阻、绝缘电阻和漏电保护器漏电动作参数测定记录表；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7  定期检 ( 复 ) 查表；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8  电工安装、巡检、维修、拆除工作记录。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注：安全技术档案应由主管该现场的电气技术人员负责建立与管理。临时用电工程应定期检查，其中“电工安装、巡检、维修、拆除工作记录”指定电工代管，每周由项目部相关部门审核认可，并应在临时用电工程拆除后统一归档。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二、供电路线架设</w:t>
      </w:r>
    </w:p>
    <w:p>
      <w:pPr>
        <w:pStyle w:val="5"/>
        <w:pageBreakBefore w:val="0"/>
        <w:widowControl/>
        <w:kinsoku/>
        <w:wordWrap/>
        <w:overflowPunct/>
        <w:topLinePunct w:val="0"/>
        <w:autoSpaceDE/>
        <w:autoSpaceDN/>
        <w:bidi w:val="0"/>
        <w:adjustRightInd/>
        <w:snapToGrid/>
        <w:spacing w:line="360" w:lineRule="auto"/>
        <w:ind w:firstLine="562" w:firstLineChars="200"/>
        <w:textAlignment w:val="auto"/>
      </w:pPr>
      <w:bookmarkStart w:id="0" w:name="架空线路必须架设在专用电杆上严禁架设在树木上或脚手架上等不稳固的地方"/>
      <w:r>
        <w:t xml:space="preserve">  架空线路必须架设在专用电杆上，严禁架设在树木上或脚手架上等不稳固的地方。</w:t>
      </w:r>
      <w:bookmarkEnd w:id="0"/>
    </w:p>
    <w:p>
      <w:pPr>
        <w:pStyle w:val="23"/>
        <w:pageBreakBefore w:val="0"/>
        <w:widowControl/>
        <w:kinsoku/>
        <w:wordWrap/>
        <w:overflowPunct/>
        <w:topLinePunct w:val="0"/>
        <w:autoSpaceDE/>
        <w:autoSpaceDN/>
        <w:bidi w:val="0"/>
        <w:adjustRightInd/>
        <w:snapToGrid/>
        <w:spacing w:line="360" w:lineRule="auto"/>
        <w:ind w:firstLine="480" w:firstLineChars="200"/>
        <w:textAlignment w:val="auto"/>
      </w:pPr>
      <w:r>
        <w:t>⑴   架空线路最少截面：为满足机械强度要求，铝线≥ 25 mm 2 ，铜线≥ 16 mm 2   跨越铁路、公路、河流、电力线路档距内的绝缘铝线不少于 35mm 2 ，铜线不少于 16mm 2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⑵   电线接头：在一个档距内，每层架空线接头不得超过该层导线 50 ％，且一根导线只允许一个接头，跨越道路、河流档距内不得有接头。</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⑶   电杆档距：电杆间距为 30m, 特殊情况下最大不超过 35m ；线间距不得少于 0.3m ，上下横担间高压与低压 1.2m ，低压与低压 0.6m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⑷   电杆埋设：电杆埋设深度为 1.8m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⑸   拉线：拉线宜用截面不少于Φ 4 × 3 的镀锌铁丝、拉线与电杆的夹角庆在 45 ～ 30 度之间，埋地深度不少于 1m ，钢筋混凝土杆上的拉线应在高于地面 2.5m 处装设拉紧绝缘子。</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⑹   室内配线：进户线过墙应穿管保护，距地面不得少于 2.5m ，并采取防雨措施，室外应采用绝缘子固定。</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⑺   橡皮电缆架空敷设时，应沿墙壁或电杆设置，并用绝缘子固定，严禁使用金属裸线作绑线。橡皮电缆的最大弧垂距地面不得小于 2.5m 。</w:t>
      </w:r>
    </w:p>
    <w:p>
      <w:pPr>
        <w:pStyle w:val="5"/>
        <w:pageBreakBefore w:val="0"/>
        <w:widowControl/>
        <w:kinsoku/>
        <w:wordWrap/>
        <w:overflowPunct/>
        <w:topLinePunct w:val="0"/>
        <w:autoSpaceDE/>
        <w:autoSpaceDN/>
        <w:bidi w:val="0"/>
        <w:adjustRightInd/>
        <w:snapToGrid/>
        <w:spacing w:line="360" w:lineRule="auto"/>
        <w:ind w:firstLine="562" w:firstLineChars="200"/>
        <w:textAlignment w:val="auto"/>
      </w:pPr>
      <w:bookmarkStart w:id="1" w:name="三电缆埋设"/>
      <w:r>
        <w:t xml:space="preserve">  三、电缆埋设</w:t>
      </w:r>
      <w:bookmarkEnd w:id="1"/>
    </w:p>
    <w:p>
      <w:pPr>
        <w:pStyle w:val="23"/>
        <w:pageBreakBefore w:val="0"/>
        <w:widowControl/>
        <w:kinsoku/>
        <w:wordWrap/>
        <w:overflowPunct/>
        <w:topLinePunct w:val="0"/>
        <w:autoSpaceDE/>
        <w:autoSpaceDN/>
        <w:bidi w:val="0"/>
        <w:adjustRightInd/>
        <w:snapToGrid/>
        <w:spacing w:line="360" w:lineRule="auto"/>
        <w:ind w:firstLine="480" w:firstLineChars="200"/>
        <w:textAlignment w:val="auto"/>
      </w:pPr>
      <w:r>
        <w:t xml:space="preserve">  ⑴   搅拌站用电线路选用五芯电力电缆，电缆线路采用埋地敷设。</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 xml:space="preserve">  ⑵   直埋电缆在轨弯处和直线段每隔 20m 处设电缆走向标志。</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 xml:space="preserve">  ⑶   电缆埋设深度不小于 0.7m ，电缆周围必须均匀敷设不小于 50mm 厚的细砂或软土，然后覆盖砖或混凝土板等硬质保护层。</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 xml:space="preserve">  ⑷   埋地电缆在穿越建筑物、构筑物、道路、易受机械损伤、介质腐蚀场所及引出地面从 2.0m  高到地下 -0.2m 处，必须加设防护套管，防护套管的内径不应小于电缆外径的 1.5 倍。</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 xml:space="preserve">  ⑸   埋地电缆的接头应设在地面上的接线盒内，接线盒应能防水、防尘、防机械损伤，并远离易燃、易爆、易腐蚀场所。</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 xml:space="preserve">  ⑹   埋地的电缆于附近的外电电缆，管沟的平行间距不得小于 2m ，交叉间距不得小于 1m 。</w:t>
      </w:r>
    </w:p>
    <w:p>
      <w:pPr>
        <w:pStyle w:val="5"/>
        <w:pageBreakBefore w:val="0"/>
        <w:widowControl/>
        <w:kinsoku/>
        <w:wordWrap/>
        <w:overflowPunct/>
        <w:topLinePunct w:val="0"/>
        <w:autoSpaceDE/>
        <w:autoSpaceDN/>
        <w:bidi w:val="0"/>
        <w:adjustRightInd/>
        <w:snapToGrid/>
        <w:spacing w:line="360" w:lineRule="auto"/>
        <w:ind w:firstLine="562" w:firstLineChars="200"/>
        <w:textAlignment w:val="auto"/>
      </w:pPr>
      <w:bookmarkStart w:id="2" w:name="四配电室的布置要求"/>
      <w:r>
        <w:t>四、配电室的布置要求</w:t>
      </w:r>
      <w:bookmarkEnd w:id="2"/>
    </w:p>
    <w:p>
      <w:pPr>
        <w:pStyle w:val="23"/>
        <w:pageBreakBefore w:val="0"/>
        <w:widowControl/>
        <w:kinsoku/>
        <w:wordWrap/>
        <w:overflowPunct/>
        <w:topLinePunct w:val="0"/>
        <w:autoSpaceDE/>
        <w:autoSpaceDN/>
        <w:bidi w:val="0"/>
        <w:adjustRightInd/>
        <w:snapToGrid/>
        <w:spacing w:line="360" w:lineRule="auto"/>
        <w:ind w:firstLine="480" w:firstLineChars="200"/>
        <w:textAlignment w:val="auto"/>
      </w:pPr>
      <w:r>
        <w:t>⑴   配电室应靠近电源，并应设在灰尘少、朝气少、震动小、无腐蚀介质、无易燃易暴物及道路通畅的地方。</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⑵   配电室和控制室应能自然通风，并应采取防雨雪侵入和动物进入的措施。</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⑶   配电柜正面操作的通道宽度，单列布置或双列布置布小于 1.5m ，双列面对面布置不小于 2m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⑷   配电柜后面的维护通道宽度，单列布置或双列布置布小于 0.8m ，双列背对背布置不小于 1.5m ，个别地点有建筑物结构突出的地方，则此点通道宽度可减少 0.2m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⑸   配电柜侧面的维护通道宽度不小于 1m ；配电室顶棚与地面的距离不低于 3m ；配电室内设置值班或检修时，该室边缘距配电柜的水平距离大于 1m ，并采取屏障隔离；配电室内的裸母线于地面垂直距离小于 2.5m 时，采用遮拦隔离，遮拦下面通道的高度不小于 1.9m ；配电室围栏上方带电部分的净距不小于 0.075m ；配电装置的上端距顶棚不小于 0.5m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⑹   配电室内的母线涂刷有色油漆，以标志相序。</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⑺   配电室的建筑物和构筑物的耐火等级不低于 3 级，室内配置砂箱和可用于扑灭电气火灾的灭火器。</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⑻   配电室的门向外开。</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⑼   配电室的照明分别设置正常照明和事故照明。</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⑽   配电柜应装设开关及短路、过载、漏电保护器，电源隔离开关分断时应有明显可见分断点。</w:t>
      </w:r>
    </w:p>
    <w:p>
      <w:pPr>
        <w:pStyle w:val="5"/>
        <w:pageBreakBefore w:val="0"/>
        <w:widowControl/>
        <w:kinsoku/>
        <w:wordWrap/>
        <w:overflowPunct/>
        <w:topLinePunct w:val="0"/>
        <w:autoSpaceDE/>
        <w:autoSpaceDN/>
        <w:bidi w:val="0"/>
        <w:adjustRightInd/>
        <w:snapToGrid/>
        <w:spacing w:line="360" w:lineRule="auto"/>
        <w:ind w:firstLine="562" w:firstLineChars="200"/>
        <w:textAlignment w:val="auto"/>
      </w:pPr>
      <w:bookmarkStart w:id="3" w:name="五技术措施"/>
      <w:r>
        <w:t>五、技术措施</w:t>
      </w:r>
      <w:bookmarkEnd w:id="3"/>
    </w:p>
    <w:p>
      <w:pPr>
        <w:pStyle w:val="23"/>
        <w:pageBreakBefore w:val="0"/>
        <w:widowControl/>
        <w:kinsoku/>
        <w:wordWrap/>
        <w:overflowPunct/>
        <w:topLinePunct w:val="0"/>
        <w:autoSpaceDE/>
        <w:autoSpaceDN/>
        <w:bidi w:val="0"/>
        <w:adjustRightInd/>
        <w:snapToGrid/>
        <w:spacing w:line="360" w:lineRule="auto"/>
        <w:ind w:firstLine="480" w:firstLineChars="200"/>
        <w:textAlignment w:val="auto"/>
      </w:pPr>
      <w:r>
        <w:t>⑴   现场使用的配电箱必须符合集团公司指定的生产厂家和临电标准，室外使用的配电箱必须有防砸、防雨棚，加设围栏并设置操作平台。配电箱周围不能有杂物，应有编号、内设系统图，箱内设备必须完好，带电体不能明露。漏电器必须灵敏可靠，箱内必须单独设立工作零线端子板，下线整齐。箱体外壳接零保护必须牢固，箱内清洁、一箱一闸一漏。</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⑵   电缆敷设：施工现场使用的各种导线必须按规定敷设。地埋穿管电缆敷设必须要符合规程、规范的要求。并做好标志。要有防压，砸，碾等措施。</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⑶   各支路终端 PE 线必须做重复接地，其接地电阻不大于 10 欧姆。每个塔吊必须分别做二路单独接地其接地电阻不的大于 4 欧姆。外架高度超过 20m 时应设防雷接地，接地电阻值应小于 10 欧姆。</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⑷   现场施工机具：凡进入现场的施工机具必须有合格证，机具使用必须设开关箱，并符合一机、一箱、一闸、一漏的规定。电锯、砂轮机严禁使用倒顺开关。电焊机前后防护罩齐全牢固，机体完好，下方用绝缘物垫好，必须加装 JZ- 弧焊机防触 ( 漏 ) 电保护器。手持电动工具及小型机具必须有二级漏电保护，同时有可靠的接地保护。</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⑸   在施工现场专用的中性点直接接地的低压电力线路中，必须采用 TN—S 接零保护系统。保护零线必须在总配电箱、配电线路中间和末端至少三处作重复接地。</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⑹   在坑内作业。夜间施工或自然采光差的场所，需设置一般照明，局部照明或混合照明。行走灯电压不得超过 36V ，特别潮湿的场所电压不大于 12V 。在振动较大的场所，选用防振型照明器。照明器具和器材的质量应合格，不得使用绝缘老化破损的器具和器材。</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⑺   对有爆炸和火灾危险的场所，必须安装与危险场所等级相适应的照明器。</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⑻   施工现场各种配电箱，电焊机各种规定机具必须有防雨措施。防止雨淋，若被淋湿的开关箱及有关电器，须干燥检测合格后使用。雨后电工人员应仔细全面的对施工机具及电缆配电箱等进行检查，所有漏电保护器应灵敏可靠。</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⑼   在单相及二相线路中零线与相线截面相同；在三相四线制线路中，当照明灯为白炽灯时，零线截面为相线二分之一，当照明灯具为气体放电灯或逐相切断的三相照明电路中零线截面按最大负荷相的电流选择。</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⑽   暂设工程的灯具宜采用拉线开关，拉线开关距地面 2 ～ 3m ，其他开关距地面高度为 1.3m ，与出入口的水平距离为 0.15 ～ 0.20m 。严禁将插座与搬把开关靠近装设，严禁在床上装设开关。</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⑾   不得把照明线路挂设在脚手架以及无绝缘措施的金属构件上，移动照明导线应采用橡胶电缆线，严禁采用其他软线。手持照明灯具应使用安全电压，照明零线严禁通过熔断器。</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⑿配电箱内的元件应首先安装在金属板上，然后整体紧固在配电箱箱体内，金属板座与配电箱体应作电气连接。</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⒀   配电箱，开关箱内的各种电器应按规定的位置紧固在安装板上，不得歪斜和松动，电器设备之间，和开关箱内设备与板四周的距离应符合有关工艺标准要求。</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⒁   配电箱内和开关箱内的工作零线应通过接线端子板连接，但应与保护零线接线端子板分设。</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⒂   配电箱内和开关箱内的连接线应采用绝缘导线，导线的型号及截面应严格执行临时用电图纸的标示截面。各种仪表之间的连接线应使用截面不小于 2.5MM2 绝缘铜芯导线。注意：导线接头不得松动，不得有外露带电部分。</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⒃   配电箱体的金属支架、金属箱体、金属电器安装板以及箱内电器的正常不带电的金属底座与外壳等必须做保护接零。保护接零线应经过接零端子板连接。</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⒄   配电箱后面的导线必须排列整齐，绑扎成束，并用塑料卡固定在盘板上，盘后引出及引入的导线应留出适当余长，以便检修。</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⒅   导线剥削处不应伤线芯过长，导线压头应牢固可靠多股导线不应盘圈压按，应加装压线端子（有压线孔者除外）。如必须穿孔用顶丝压按时，多股线应刮锡后再压按，且不得减少导线股数。</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⒆   保证正确可靠的接地与接零，杜绝漏电。保护线 PE 必须采用黄、绿双色线，严格与相线、工作零线相区别，杜绝混用。</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⒇   电气设备的设置、安装、防护、使用维修、操作与维修员必须符合《施工现场临时用电安全技术规范》的要求。</w:t>
      </w:r>
    </w:p>
    <w:p>
      <w:pPr>
        <w:pStyle w:val="5"/>
        <w:pageBreakBefore w:val="0"/>
        <w:widowControl/>
        <w:kinsoku/>
        <w:wordWrap/>
        <w:overflowPunct/>
        <w:topLinePunct w:val="0"/>
        <w:autoSpaceDE/>
        <w:autoSpaceDN/>
        <w:bidi w:val="0"/>
        <w:adjustRightInd/>
        <w:snapToGrid/>
        <w:spacing w:line="360" w:lineRule="auto"/>
        <w:ind w:firstLine="562" w:firstLineChars="200"/>
        <w:textAlignment w:val="auto"/>
      </w:pPr>
      <w:bookmarkStart w:id="4" w:name="六电气防火措施"/>
      <w:r>
        <w:t>六、电气防火措施</w:t>
      </w:r>
      <w:bookmarkEnd w:id="4"/>
    </w:p>
    <w:p>
      <w:pPr>
        <w:pStyle w:val="23"/>
        <w:pageBreakBefore w:val="0"/>
        <w:widowControl/>
        <w:kinsoku/>
        <w:wordWrap/>
        <w:overflowPunct/>
        <w:topLinePunct w:val="0"/>
        <w:autoSpaceDE/>
        <w:autoSpaceDN/>
        <w:bidi w:val="0"/>
        <w:adjustRightInd/>
        <w:snapToGrid/>
        <w:spacing w:line="360" w:lineRule="auto"/>
        <w:ind w:firstLine="480" w:firstLineChars="200"/>
        <w:textAlignment w:val="auto"/>
      </w:pPr>
      <w:r>
        <w:t>⑴   合理配置电气保护装置，对电路和设备的过载、短路故障进行可靠的保护。</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⑵   在电气装置和线路周围不堆放易燃、易爆和腐蚀性介质。</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⑶   建立电气防火责任制，并设置禁止烟火标志。</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⑷   建立电气防火检查制度，发现问题及时处理。</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⑸   建立电气防火宣传教育制度，提高电气防火队伍的警惕性。</w:t>
      </w:r>
    </w:p>
    <w:p>
      <w:pPr>
        <w:pStyle w:val="4"/>
        <w:pageBreakBefore w:val="0"/>
        <w:widowControl/>
        <w:kinsoku/>
        <w:wordWrap/>
        <w:overflowPunct/>
        <w:topLinePunct w:val="0"/>
        <w:autoSpaceDE/>
        <w:autoSpaceDN/>
        <w:bidi w:val="0"/>
        <w:adjustRightInd/>
        <w:snapToGrid/>
        <w:spacing w:line="360" w:lineRule="auto"/>
        <w:ind w:firstLine="643" w:firstLineChars="200"/>
        <w:textAlignment w:val="auto"/>
      </w:pPr>
      <w:bookmarkStart w:id="5" w:name="七使用与维护"/>
      <w:r>
        <w:t>七、使用与维护</w:t>
      </w:r>
      <w:bookmarkEnd w:id="5"/>
    </w:p>
    <w:p>
      <w:pPr>
        <w:pStyle w:val="23"/>
        <w:pageBreakBefore w:val="0"/>
        <w:widowControl/>
        <w:kinsoku/>
        <w:wordWrap/>
        <w:overflowPunct/>
        <w:topLinePunct w:val="0"/>
        <w:autoSpaceDE/>
        <w:autoSpaceDN/>
        <w:bidi w:val="0"/>
        <w:adjustRightInd/>
        <w:snapToGrid/>
        <w:spacing w:line="360" w:lineRule="auto"/>
        <w:ind w:firstLine="480" w:firstLineChars="200"/>
        <w:textAlignment w:val="auto"/>
      </w:pPr>
      <w:r>
        <w:t>⑴   配电箱、开关箱应有名称、用途、分路标记及系统接线图。</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⑵   配电箱、开关箱箱门应配锁，并应有专业人员负责。</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⑶   配电箱、开关箱应定期检查、维修。检查、维修人员必须是专业电工。检查、维修时必须按规定穿、戴绝缘鞋、手套，必须使用电工绝缘工具，并应做检查、维修工作记录。</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⑷   对配电箱、开关箱进行定期检查、维修时，必须将其前一级相应的电源隔离开关分闸断电，并悬挂“禁止合闸，有人工作”停电标志牌，严禁带电作业。</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⑸   配电箱、开关箱必须按照下列顺序操作：</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①送电操作顺序为：总配电箱 — 分配电箱 — 开关箱；</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②停电操作顺序为：开关箱 — 分配电箱 — 总配电箱；</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但出现电气故障的紧急情况除外</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⑹   施工现场停止作业一小时以上时，应将动力开关箱断电上锁。</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⑺   开关箱的操作人员必须符合以下规定：</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①使用电气设备前必须按照规定穿戴和配备好相应的劳动防护产品，并应检查电气装置和保护设施，严禁设备带“缺陷”运转；</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②保管和维护所有设备，发现问题及时报告解决；</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③暂时停用设备的开关箱必须分断电源隔离开关，并应关门上锁；</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④移动电气设备时，必须经电工切断电源并做妥善处理后进行。</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⑻   配电箱、开关箱内不得放置任何杂物，并应保持清洁；不得随意挂接其他用电设备。</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⑼   配电箱、开关箱内的电器配置和接线严禁随意改动。熔断器的熔体更换时，严禁采用不符合原规格的熔体代替。漏电保护器每天使用前应启动漏电试验按钮试跳一次，试跳不正常时严禁继续使用。</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⑽   配电箱、开关箱的进线和出线严禁承受外力，严禁与金属尖锐断口、强腐蚀介质和易燃易爆物接触。</w:t>
      </w:r>
    </w:p>
    <w:p>
      <w:pPr>
        <w:pStyle w:val="5"/>
        <w:pageBreakBefore w:val="0"/>
        <w:widowControl/>
        <w:kinsoku/>
        <w:wordWrap/>
        <w:overflowPunct/>
        <w:topLinePunct w:val="0"/>
        <w:autoSpaceDE/>
        <w:autoSpaceDN/>
        <w:bidi w:val="0"/>
        <w:adjustRightInd/>
        <w:snapToGrid/>
        <w:spacing w:line="360" w:lineRule="auto"/>
        <w:ind w:firstLine="562" w:firstLineChars="200"/>
        <w:textAlignment w:val="auto"/>
      </w:pPr>
      <w:bookmarkStart w:id="6" w:name="八电工要求"/>
      <w:r>
        <w:t>八、电工要求</w:t>
      </w:r>
      <w:bookmarkEnd w:id="6"/>
    </w:p>
    <w:p>
      <w:pPr>
        <w:pStyle w:val="23"/>
        <w:pageBreakBefore w:val="0"/>
        <w:widowControl/>
        <w:kinsoku/>
        <w:wordWrap/>
        <w:overflowPunct/>
        <w:topLinePunct w:val="0"/>
        <w:autoSpaceDE/>
        <w:autoSpaceDN/>
        <w:bidi w:val="0"/>
        <w:adjustRightInd/>
        <w:snapToGrid/>
        <w:spacing w:line="360" w:lineRule="auto"/>
        <w:ind w:firstLine="480" w:firstLineChars="200"/>
        <w:textAlignment w:val="auto"/>
      </w:pPr>
      <w:r>
        <w:t xml:space="preserve">  ⑴   电工必须经过专业及安全技术培训，经（地）市劳动部门考试合格发给操作证，方准独立操作。</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⑵   电工应掌握用电安全基本知识和所有设备性能。</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⑶   上岗前按规定穿戴好个人防护用品。</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⑷   停用设备应拉闸断电，锁好开关箱。</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 xml:space="preserve">⑸   负责维护用电设备的负荷线，保护零线（重复接地）和开关箱。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⑹   移动用电设备必须切断电源，一般情况下不许带电作业，必须带电作业时要采取安全防护措施并设专人监护。</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⑺   按规定定期（工地每月、公司每季）对用电线路进行检查，发现问题及时处理，并做好检查和维修记录。</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⑻   应懂得触电急救常识和电器灭火常识。</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⑼   电工必须经过医生检查无妨碍从事电气工作的病症。</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九、操作规范：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  1 、悬挂有“正在检修，严禁合闸”类的警示标语，严禁擅自推闸送电，严禁拆改任何用电防护设施。</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施工现场根据使用需要，如新增（或撤除）任何配电设施或设备，需先向项目部相关管理部门提交申请，获得审批后，方可添置或撤出。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  2 、电工作业必须经专业安全技术培训，考试合格，持   《特种作业操作证》方准上岗独立操作。非电工严禁进行电气作业。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  3 、电工作业时，必须穿绝缘鞋、戴绝缘手套，酒后不准操作。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  4 、所有绝缘、检测工具应妥善保管，严禁他用，并应定期检查、校验。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  5 、线路不得拴在金属脚手架、龙门架上，严禁乱拉、乱拖。灯具需要安装在金属脚手架、龙门架上时，线路和灯具必须用绝缘物与其隔离开，且距离工作面高度在 3m  以上。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  6 、露天使用的电气设备，应有良好的防雨性能或有可靠的防雨设施。配电箱必须牢固、完整、严密。使用中的配电箱内禁止放置杂物。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  7 、电气设备的金属外壳必须接地或接零。保护零线必须通过零线端子板连接。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  8 、安装在建筑物或构筑物上的配电箱为固定式配电箱，其箱底距地面的垂直距离应大于 1.3m ，小于 1.5m 。移动式配电箱不得置于地面上随意拖拉，应固定在支架上，其箱底与地面的垂直距离应大于 0.6m, 小于 1.5m 。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  9 、每台用电设备应有各自专用的开关箱，必须实行   “   一机一箱一闸一漏”制，严禁同一个开关电器直接控制二台及二台以上用电设备。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  10 、逐级漏电保护。施工现场的漏电保护开关在总配电箱、分配电箱上安装的漏电保护开关的漏电动作电流应为 50—100mA  ，保护该线路 ; 开关箱安装漏电保护开关的漏电动作电流应为 30mA  以下。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 11 、发生大量蒸汽、气体、粉尘的工作场所，要使用密闭式电气设备。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 12 、宿舍内、地下室照明均采用 36 伏低压电。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常见隐患：   安全才能生产 ,  生产必须安全 ,  这已成为当前所有建筑施工企业的共识 ,  而建筑施工安</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全措施之一的现场临时用电安全管理 ,  更是建筑工程开工前、施工中都必须做好的一项重要保障工作。统计数据表明 :  临时用电是施工现场极容易出现安全事故的一个项目 ,  触电事故更是五大伤害之一。</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  一：重复接地数量不足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指在配电线路的中间处或末端或两处都没有做重复接地 ,  这是施工现场经常能见到的安全隐患。重复接地工作不应被忽略 ,  施工实践证明 , 重复接地能有效降低故障点的对地电压 ,  减轻保护零线断路时的危险性。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二：电箱进出线应设置在箱体的下底面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严禁设置在箱体的侧面、上顶面和后面（严禁一闸多接）。很多建筑工地的电箱都是进出线在箱体侧面或上顶面的，电箱在雨天极容易造成雨水从电线进入而引起短路、箱体带电或触电事故。   三：施工电源线隐患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施工现场电源线使用隐患主要表现在： 1 、电源线破损、绝缘老化、接头多，极可能形成漏电、短路等引发电气事故，甚至发生触电伤亡或电气火灾事故。 2 、施工现场使用的电线随意拖、拉，零乱混杂，应架空的既没有架空也不采取保护措施，甚至有的电线还浸泡在水中或者被物体碾压， 3 、私拉乱接、电源线超长。尤其是施工人员宿舍，非持证电工私接、乱拉电源线，任意增加用电设备。这样做十分危险一是容易引发火灾。由于不懂用电知识，不看电线粗细，在一个电源插座上使用多个电器设备，一是易产生火花或电线发热起火，引发火灾。二是易发生触电事故。《施工现场临时用电安全技术规范》对严禁使用绝缘老化，破损电源线，开关箱进出线不得有接头都有明确规定。  </w:t>
      </w:r>
    </w:p>
    <w:p>
      <w:pPr>
        <w:pStyle w:val="5"/>
        <w:pageBreakBefore w:val="0"/>
        <w:widowControl/>
        <w:kinsoku/>
        <w:wordWrap/>
        <w:overflowPunct/>
        <w:topLinePunct w:val="0"/>
        <w:autoSpaceDE/>
        <w:autoSpaceDN/>
        <w:bidi w:val="0"/>
        <w:adjustRightInd/>
        <w:snapToGrid/>
        <w:spacing w:line="360" w:lineRule="auto"/>
        <w:ind w:firstLine="562" w:firstLineChars="200"/>
        <w:textAlignment w:val="auto"/>
      </w:pPr>
      <w:bookmarkStart w:id="7" w:name="十其它注意事项"/>
      <w:r>
        <w:t>十、其它注意事项</w:t>
      </w:r>
      <w:bookmarkEnd w:id="7"/>
    </w:p>
    <w:p>
      <w:pPr>
        <w:pStyle w:val="23"/>
        <w:pageBreakBefore w:val="0"/>
        <w:widowControl/>
        <w:kinsoku/>
        <w:wordWrap/>
        <w:overflowPunct/>
        <w:topLinePunct w:val="0"/>
        <w:autoSpaceDE/>
        <w:autoSpaceDN/>
        <w:bidi w:val="0"/>
        <w:adjustRightInd/>
        <w:snapToGrid/>
        <w:spacing w:line="360" w:lineRule="auto"/>
        <w:ind w:firstLine="480" w:firstLineChars="200"/>
        <w:textAlignment w:val="auto"/>
      </w:pPr>
      <w:r>
        <w:t>⑴   现场潮湿环境使用 12V 电源。</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⑵   严禁将相线直接引入灯具。</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⑶   操作手持电动工具、夯土机械、焊接机械、必须带绝缘手套。</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⑷   接地电阻测试必须小于 10 Ω，其中塔机接地电阻小于 4 Ω。</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⑸   保护零线不得装设开关或熔断器。</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⑹   现场严禁乱接电线，严禁使用电炉。</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⑺   一切用电线路和设备的接电、拆线路必须由电工操作，严禁无证上岗。</w:t>
      </w:r>
    </w:p>
    <w:p>
      <w:pPr>
        <w:pStyle w:val="4"/>
        <w:pageBreakBefore w:val="0"/>
        <w:widowControl/>
        <w:kinsoku/>
        <w:wordWrap/>
        <w:overflowPunct/>
        <w:topLinePunct w:val="0"/>
        <w:autoSpaceDE/>
        <w:autoSpaceDN/>
        <w:bidi w:val="0"/>
        <w:adjustRightInd/>
        <w:snapToGrid/>
        <w:spacing w:line="360" w:lineRule="auto"/>
        <w:ind w:firstLine="643" w:firstLineChars="200"/>
        <w:textAlignment w:val="auto"/>
      </w:pPr>
      <w:bookmarkStart w:id="8" w:name="十一防雷及接地设计"/>
      <w:r>
        <w:t>十一、防雷及接地设计</w:t>
      </w:r>
      <w:bookmarkEnd w:id="8"/>
    </w:p>
    <w:p>
      <w:pPr>
        <w:pStyle w:val="23"/>
        <w:pageBreakBefore w:val="0"/>
        <w:widowControl/>
        <w:kinsoku/>
        <w:wordWrap/>
        <w:overflowPunct/>
        <w:topLinePunct w:val="0"/>
        <w:autoSpaceDE/>
        <w:autoSpaceDN/>
        <w:bidi w:val="0"/>
        <w:adjustRightInd/>
        <w:snapToGrid/>
        <w:spacing w:line="360" w:lineRule="auto"/>
        <w:ind w:firstLine="480" w:firstLineChars="200"/>
        <w:textAlignment w:val="auto"/>
      </w:pPr>
      <w:r>
        <w:t xml:space="preserve">在总配电箱处做重复接地装置，采用长 2.5m, 直径为 48mm 的脚手架钢管，打入地下每组三根，用镀锌扁钢将两根接地体连接，接地线采用多股铜线，线径不应小于相应分配电箱输入保护线的截面积。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十二、触电预防及应急措施：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安全电压是为防止触电事故而采用的特定电源供电的电压系列，分为 42V 、 36V 、 24V 、 12V 、 6V 五级。根据不同的作业条件，选不同的安全电压。  1 、   触电者的抢救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  ⑴应尽快使触电者脱离电源。人触电后，可能由于疼或失去知觉（昏迷）等原因而紧抓导电体，不能自行摆脱电源。这时，应使触电者尽快脱离电源，切断通过人体的电流。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    ⑵对症施救，当触电者脱离电源后，应争分夺秒紧急救护，在送医院抢救的途中还应根据下列不同情况采用不同的救护方法。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 1. 如果触电者伤势不重，神志尚清醒，但有些心慌、四肢发麻、全身无力、或者触电过程中曾一度昏迷。应使触电者安静休息，严密观察，并尽快送医院治疗。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 2. 如果触电者伤势较重，已失去知觉，但心脏跳动和呼吸尚存的。应使触电者舒适、安静地下卧，保持空气流通，并迅速送医院治疗，在送院途中要随时注意观察，如发现触电者呼吸停止，应立即进行人工呼吸抢救工作。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 3. 如果触电者伤势特别严重，呼吸、脉搏有心脏跳动都停止，出现假死现象，应立即采用人工呼吸法和胸外心脏压挤法进行紧急救护。否则触电人将失去得到救治的可能。在医生未到现场救护之前或将伤者送医院的途中也不可中断人工呼吸。  2 、现场应急措施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 xml:space="preserve">  ⑴消除不安全因素，将出事的电源开关拉掉，防止事故扩大，避免更大的人身伤害及财产损失。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    ⑵注意保护现场，因抢救触电者和防止事故扩大，需要移动现场物件时，应做出标志、拍照、详细记录和绘图事故现场图。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    ⑶事故发生后应急小组在抢救触电者、保护事故现场的同时，立即报公司领导、项目部按规定向上级有关部门报告。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    ⑷项目部得知事故发生后，应立即赶赴事故现场，开展上述应急措施，注意检查事故现场是否处于安全状态，防止事故的扩大。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r>
        <w:t>    ⑸配合公司有关部门开展事故调查工作。 　</w:t>
      </w:r>
    </w:p>
    <w:p>
      <w:pPr>
        <w:pStyle w:val="3"/>
        <w:pageBreakBefore w:val="0"/>
        <w:widowControl/>
        <w:kinsoku/>
        <w:wordWrap/>
        <w:overflowPunct/>
        <w:topLinePunct w:val="0"/>
        <w:autoSpaceDE/>
        <w:autoSpaceDN/>
        <w:bidi w:val="0"/>
        <w:adjustRightInd/>
        <w:snapToGrid/>
        <w:spacing w:line="360" w:lineRule="auto"/>
        <w:ind w:firstLine="480" w:firstLineChars="200"/>
        <w:textAlignment w:val="auto"/>
      </w:pPr>
    </w:p>
    <w:p>
      <w:pPr>
        <w:pStyle w:val="24"/>
      </w:pPr>
    </w:p>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86"/>
    <w:family w:val="auto"/>
    <w:pitch w:val="default"/>
    <w:sig w:usb0="E00002FF" w:usb1="400004FF" w:usb2="00000000" w:usb3="00000000" w:csb0="2000019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NotTrackMoves/>
  <w:documentProtection w:enforcement="0"/>
  <w:defaultTabStop w:val="720"/>
  <w:drawingGridHorizontalSpacing w:val="360"/>
  <w:drawingGridVerticalSpacing w:val="360"/>
  <w:displayHorizontalDrawingGridEvery w:val="0"/>
  <w:displayVerticalDrawingGridEvery w:val="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0D07"/>
    <w:rsid w:val="00011C8B"/>
    <w:rsid w:val="004E29B3"/>
    <w:rsid w:val="00590D07"/>
    <w:rsid w:val="00784D58"/>
    <w:rsid w:val="008D6863"/>
    <w:rsid w:val="00B86B75"/>
    <w:rsid w:val="00BC48D5"/>
    <w:rsid w:val="00C36279"/>
    <w:rsid w:val="00E315A3"/>
    <w:rsid w:val="72C45997"/>
  </w:rsids>
  <m:mathPr>
    <m:mathFont m:val="Lucida Grande"/>
    <m:brkBin m:val="before"/>
    <m:brkBinSub m:val="--"/>
    <m:smallFrac m:val="0"/>
    <m:dispDef m:val="0"/>
    <m:lMargin m:val="0"/>
    <m:rMargin m:val="0"/>
    <m:defJc m:val="centerGroup"/>
    <m:wrapIndent m:val="1440"/>
    <m:intLim m:val="subSup"/>
    <m:naryLim m:val="subSup"/>
    <m:wrapRight m:val="1"/>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pPr>
    <w:rPr>
      <w:rFonts w:asciiTheme="minorHAnsi" w:hAnsiTheme="minorHAnsi" w:eastAsiaTheme="minorHAnsi" w:cstheme="minorBidi"/>
      <w:sz w:val="24"/>
      <w:szCs w:val="24"/>
      <w:lang w:val="en" w:eastAsia="en-US" w:bidi="ar-SA"/>
    </w:rPr>
  </w:style>
  <w:style w:type="paragraph" w:styleId="2">
    <w:name w:val="heading 1"/>
    <w:basedOn w:val="1"/>
    <w:next w:val="3"/>
    <w:qFormat/>
    <w:uiPriority w:val="9"/>
    <w:pPr>
      <w:keepNext/>
      <w:keepLines/>
      <w:spacing w:before="480" w:after="0"/>
      <w:outlineLvl w:val="0"/>
    </w:pPr>
    <w:rPr>
      <w:rFonts w:asciiTheme="majorHAnsi" w:hAnsiTheme="majorHAnsi" w:eastAsiaTheme="majorEastAsia" w:cstheme="majorBidi"/>
      <w:b/>
      <w:bCs/>
      <w:color w:val="335B8A" w:themeColor="accent1" w:themeShade="B5"/>
      <w:sz w:val="32"/>
      <w:szCs w:val="32"/>
    </w:rPr>
  </w:style>
  <w:style w:type="paragraph" w:styleId="4">
    <w:name w:val="heading 2"/>
    <w:basedOn w:val="1"/>
    <w:next w:val="3"/>
    <w:unhideWhenUsed/>
    <w:qFormat/>
    <w:uiPriority w:val="9"/>
    <w:pPr>
      <w:keepNext/>
      <w:keepLines/>
      <w:spacing w:before="200" w:after="0"/>
      <w:outlineLvl w:val="1"/>
    </w:pPr>
    <w:rPr>
      <w:rFonts w:asciiTheme="majorHAnsi" w:hAnsiTheme="majorHAnsi" w:eastAsiaTheme="majorEastAsia" w:cstheme="majorBidi"/>
      <w:b/>
      <w:bCs/>
      <w:color w:val="4F81BD" w:themeColor="accent1"/>
      <w:sz w:val="32"/>
      <w:szCs w:val="32"/>
    </w:rPr>
  </w:style>
  <w:style w:type="paragraph" w:styleId="5">
    <w:name w:val="heading 3"/>
    <w:basedOn w:val="1"/>
    <w:next w:val="3"/>
    <w:unhideWhenUsed/>
    <w:qFormat/>
    <w:uiPriority w:val="9"/>
    <w:pPr>
      <w:keepNext/>
      <w:keepLines/>
      <w:spacing w:before="200" w:after="0"/>
      <w:outlineLvl w:val="2"/>
    </w:pPr>
    <w:rPr>
      <w:rFonts w:asciiTheme="majorHAnsi" w:hAnsiTheme="majorHAnsi" w:eastAsiaTheme="majorEastAsia" w:cstheme="majorBidi"/>
      <w:b/>
      <w:bCs/>
      <w:color w:val="4F81BD" w:themeColor="accent1"/>
      <w:sz w:val="28"/>
      <w:szCs w:val="28"/>
    </w:rPr>
  </w:style>
  <w:style w:type="paragraph" w:styleId="6">
    <w:name w:val="heading 4"/>
    <w:basedOn w:val="1"/>
    <w:next w:val="3"/>
    <w:unhideWhenUsed/>
    <w:qFormat/>
    <w:uiPriority w:val="9"/>
    <w:pPr>
      <w:keepNext/>
      <w:keepLines/>
      <w:spacing w:before="200" w:after="0"/>
      <w:outlineLvl w:val="3"/>
    </w:pPr>
    <w:rPr>
      <w:rFonts w:asciiTheme="majorHAnsi" w:hAnsiTheme="majorHAnsi" w:eastAsiaTheme="majorEastAsia" w:cstheme="majorBidi"/>
      <w:b/>
      <w:bCs/>
      <w:color w:val="4F81BD" w:themeColor="accent1"/>
      <w:sz w:val="24"/>
      <w:szCs w:val="24"/>
    </w:rPr>
  </w:style>
  <w:style w:type="paragraph" w:styleId="7">
    <w:name w:val="heading 5"/>
    <w:basedOn w:val="1"/>
    <w:next w:val="3"/>
    <w:unhideWhenUsed/>
    <w:qFormat/>
    <w:uiPriority w:val="9"/>
    <w:pPr>
      <w:keepNext/>
      <w:keepLines/>
      <w:spacing w:before="200" w:after="0"/>
      <w:outlineLvl w:val="4"/>
    </w:pPr>
    <w:rPr>
      <w:rFonts w:asciiTheme="majorHAnsi" w:hAnsiTheme="majorHAnsi" w:eastAsiaTheme="majorEastAsia" w:cstheme="majorBidi"/>
      <w:i/>
      <w:iCs/>
      <w:color w:val="4F81BD" w:themeColor="accent1"/>
      <w:sz w:val="24"/>
      <w:szCs w:val="24"/>
    </w:rPr>
  </w:style>
  <w:style w:type="paragraph" w:styleId="8">
    <w:name w:val="heading 6"/>
    <w:basedOn w:val="1"/>
    <w:next w:val="3"/>
    <w:unhideWhenUsed/>
    <w:qFormat/>
    <w:uiPriority w:val="9"/>
    <w:pPr>
      <w:keepNext/>
      <w:keepLines/>
      <w:spacing w:before="200" w:after="0"/>
      <w:outlineLvl w:val="5"/>
    </w:pPr>
    <w:rPr>
      <w:rFonts w:asciiTheme="majorHAnsi" w:hAnsiTheme="majorHAnsi" w:eastAsiaTheme="majorEastAsia" w:cstheme="majorBidi"/>
      <w:color w:val="4F81BD" w:themeColor="accent1"/>
      <w:sz w:val="24"/>
      <w:szCs w:val="24"/>
    </w:rPr>
  </w:style>
  <w:style w:type="paragraph" w:styleId="9">
    <w:name w:val="heading 7"/>
    <w:basedOn w:val="1"/>
    <w:next w:val="3"/>
    <w:unhideWhenUsed/>
    <w:qFormat/>
    <w:uiPriority w:val="9"/>
    <w:pPr>
      <w:keepNext/>
      <w:keepLines/>
      <w:spacing w:before="200" w:after="0"/>
      <w:outlineLvl w:val="6"/>
    </w:pPr>
    <w:rPr>
      <w:rFonts w:asciiTheme="majorHAnsi" w:hAnsiTheme="majorHAnsi" w:eastAsiaTheme="majorEastAsia" w:cstheme="majorBidi"/>
      <w:color w:val="4F81BD" w:themeColor="accent1"/>
      <w:sz w:val="24"/>
      <w:szCs w:val="24"/>
    </w:rPr>
  </w:style>
  <w:style w:type="paragraph" w:styleId="10">
    <w:name w:val="heading 8"/>
    <w:basedOn w:val="1"/>
    <w:next w:val="3"/>
    <w:unhideWhenUsed/>
    <w:qFormat/>
    <w:uiPriority w:val="9"/>
    <w:pPr>
      <w:keepNext/>
      <w:keepLines/>
      <w:spacing w:before="200" w:after="0"/>
      <w:outlineLvl w:val="7"/>
    </w:pPr>
    <w:rPr>
      <w:rFonts w:asciiTheme="majorHAnsi" w:hAnsiTheme="majorHAnsi" w:eastAsiaTheme="majorEastAsia" w:cstheme="majorBidi"/>
      <w:color w:val="4F81BD" w:themeColor="accent1"/>
      <w:sz w:val="24"/>
      <w:szCs w:val="24"/>
    </w:rPr>
  </w:style>
  <w:style w:type="paragraph" w:styleId="11">
    <w:name w:val="heading 9"/>
    <w:basedOn w:val="1"/>
    <w:next w:val="3"/>
    <w:unhideWhenUsed/>
    <w:qFormat/>
    <w:uiPriority w:val="9"/>
    <w:pPr>
      <w:keepNext/>
      <w:keepLines/>
      <w:spacing w:before="200" w:after="0"/>
      <w:outlineLvl w:val="8"/>
    </w:pPr>
    <w:rPr>
      <w:rFonts w:asciiTheme="majorHAnsi" w:hAnsiTheme="majorHAnsi" w:eastAsiaTheme="majorEastAsia" w:cstheme="majorBidi"/>
      <w:color w:val="4F81BD" w:themeColor="accent1"/>
      <w:sz w:val="24"/>
      <w:szCs w:val="24"/>
    </w:rPr>
  </w:style>
  <w:style w:type="character" w:default="1" w:styleId="19">
    <w:name w:val="Default Paragraph Font"/>
    <w:semiHidden/>
    <w:unhideWhenUsed/>
    <w:qFormat/>
    <w:uiPriority w:val="0"/>
  </w:style>
  <w:style w:type="table" w:default="1" w:styleId="18">
    <w:name w:val="Normal Table"/>
    <w:uiPriority w:val="0"/>
    <w:tblPr>
      <w:tblCellMar>
        <w:top w:w="0" w:type="dxa"/>
        <w:left w:w="108" w:type="dxa"/>
        <w:bottom w:w="0" w:type="dxa"/>
        <w:right w:w="108" w:type="dxa"/>
      </w:tblCellMar>
    </w:tblPr>
  </w:style>
  <w:style w:type="paragraph" w:styleId="3">
    <w:name w:val="Body Text"/>
    <w:basedOn w:val="1"/>
    <w:link w:val="21"/>
    <w:qFormat/>
    <w:uiPriority w:val="0"/>
    <w:pPr>
      <w:spacing w:before="180" w:after="180"/>
    </w:pPr>
  </w:style>
  <w:style w:type="paragraph" w:styleId="12">
    <w:name w:val="caption"/>
    <w:basedOn w:val="1"/>
    <w:next w:val="1"/>
    <w:uiPriority w:val="0"/>
    <w:pPr>
      <w:spacing w:before="0" w:after="120"/>
    </w:pPr>
    <w:rPr>
      <w:i/>
    </w:rPr>
  </w:style>
  <w:style w:type="paragraph" w:styleId="13">
    <w:name w:val="Block Text"/>
    <w:basedOn w:val="3"/>
    <w:next w:val="3"/>
    <w:unhideWhenUsed/>
    <w:qFormat/>
    <w:uiPriority w:val="9"/>
    <w:pPr>
      <w:spacing w:before="100" w:after="100"/>
      <w:ind w:firstLine="0"/>
    </w:pPr>
    <w:rPr>
      <w:rFonts w:asciiTheme="majorHAnsi" w:hAnsiTheme="majorHAnsi" w:eastAsiaTheme="majorEastAsia" w:cstheme="majorBidi"/>
      <w:bCs/>
      <w:sz w:val="20"/>
      <w:szCs w:val="20"/>
    </w:rPr>
  </w:style>
  <w:style w:type="paragraph" w:styleId="14">
    <w:name w:val="Date"/>
    <w:next w:val="3"/>
    <w:qFormat/>
    <w:uiPriority w:val="0"/>
    <w:pPr>
      <w:keepNext/>
      <w:keepLines/>
      <w:spacing w:after="200"/>
      <w:jc w:val="center"/>
    </w:pPr>
    <w:rPr>
      <w:rFonts w:asciiTheme="minorHAnsi" w:hAnsiTheme="minorHAnsi" w:eastAsiaTheme="minorHAnsi" w:cstheme="minorBidi"/>
      <w:sz w:val="24"/>
      <w:szCs w:val="24"/>
      <w:lang w:val="en" w:eastAsia="en-US" w:bidi="ar-SA"/>
    </w:rPr>
  </w:style>
  <w:style w:type="paragraph" w:styleId="15">
    <w:name w:val="Subtitle"/>
    <w:basedOn w:val="16"/>
    <w:next w:val="3"/>
    <w:qFormat/>
    <w:uiPriority w:val="0"/>
    <w:pPr>
      <w:keepNext/>
      <w:keepLines/>
      <w:spacing w:before="240" w:after="240"/>
      <w:jc w:val="center"/>
    </w:pPr>
    <w:rPr>
      <w:sz w:val="30"/>
      <w:szCs w:val="30"/>
    </w:rPr>
  </w:style>
  <w:style w:type="paragraph" w:styleId="16">
    <w:name w:val="Title"/>
    <w:basedOn w:val="1"/>
    <w:next w:val="3"/>
    <w:qFormat/>
    <w:uiPriority w:val="0"/>
    <w:pPr>
      <w:keepNext/>
      <w:keepLines/>
      <w:spacing w:before="480" w:after="240"/>
      <w:jc w:val="center"/>
    </w:pPr>
    <w:rPr>
      <w:rFonts w:asciiTheme="majorHAnsi" w:hAnsiTheme="majorHAnsi" w:eastAsiaTheme="majorEastAsia" w:cstheme="majorBidi"/>
      <w:b/>
      <w:bCs/>
      <w:color w:val="335B8A" w:themeColor="accent1" w:themeShade="B5"/>
      <w:sz w:val="36"/>
      <w:szCs w:val="36"/>
    </w:rPr>
  </w:style>
  <w:style w:type="paragraph" w:styleId="17">
    <w:name w:val="footnote text"/>
    <w:basedOn w:val="1"/>
    <w:unhideWhenUsed/>
    <w:qFormat/>
    <w:uiPriority w:val="9"/>
  </w:style>
  <w:style w:type="character" w:styleId="20">
    <w:name w:val="Hyperlink"/>
    <w:basedOn w:val="21"/>
    <w:qFormat/>
    <w:uiPriority w:val="0"/>
    <w:rPr>
      <w:color w:val="4F81BD" w:themeColor="accent1"/>
    </w:rPr>
  </w:style>
  <w:style w:type="character" w:customStyle="1" w:styleId="21">
    <w:name w:val="Body Text Char"/>
    <w:basedOn w:val="19"/>
    <w:link w:val="3"/>
    <w:qFormat/>
    <w:uiPriority w:val="0"/>
  </w:style>
  <w:style w:type="character" w:styleId="22">
    <w:name w:val="footnote reference"/>
    <w:basedOn w:val="21"/>
    <w:qFormat/>
    <w:uiPriority w:val="0"/>
    <w:rPr>
      <w:vertAlign w:val="superscript"/>
    </w:rPr>
  </w:style>
  <w:style w:type="paragraph" w:customStyle="1" w:styleId="23">
    <w:name w:val="First Paragraph"/>
    <w:basedOn w:val="3"/>
    <w:next w:val="3"/>
    <w:qFormat/>
    <w:uiPriority w:val="0"/>
  </w:style>
  <w:style w:type="paragraph" w:customStyle="1" w:styleId="24">
    <w:name w:val="Compact"/>
    <w:basedOn w:val="3"/>
    <w:qFormat/>
    <w:uiPriority w:val="0"/>
    <w:pPr>
      <w:spacing w:before="36" w:after="36"/>
    </w:pPr>
  </w:style>
  <w:style w:type="paragraph" w:customStyle="1" w:styleId="25">
    <w:name w:val="Author"/>
    <w:next w:val="3"/>
    <w:qFormat/>
    <w:uiPriority w:val="0"/>
    <w:pPr>
      <w:keepNext/>
      <w:keepLines/>
      <w:spacing w:after="200"/>
      <w:jc w:val="center"/>
    </w:pPr>
    <w:rPr>
      <w:rFonts w:asciiTheme="minorHAnsi" w:hAnsiTheme="minorHAnsi" w:eastAsiaTheme="minorHAnsi" w:cstheme="minorBidi"/>
      <w:sz w:val="24"/>
      <w:szCs w:val="24"/>
      <w:lang w:val="en" w:eastAsia="en-US" w:bidi="ar-SA"/>
    </w:rPr>
  </w:style>
  <w:style w:type="paragraph" w:customStyle="1" w:styleId="26">
    <w:name w:val="Abstract"/>
    <w:basedOn w:val="1"/>
    <w:next w:val="3"/>
    <w:qFormat/>
    <w:uiPriority w:val="0"/>
    <w:pPr>
      <w:keepNext/>
      <w:keepLines/>
      <w:spacing w:before="300" w:after="300"/>
    </w:pPr>
    <w:rPr>
      <w:sz w:val="20"/>
      <w:szCs w:val="20"/>
    </w:rPr>
  </w:style>
  <w:style w:type="paragraph" w:customStyle="1" w:styleId="27">
    <w:name w:val="Bibliography"/>
    <w:basedOn w:val="1"/>
    <w:qFormat/>
    <w:uiPriority w:val="0"/>
  </w:style>
  <w:style w:type="table" w:customStyle="1" w:styleId="28">
    <w:name w:val="Table"/>
    <w:semiHidden/>
    <w:unhideWhenUsed/>
    <w:qFormat/>
    <w:uiPriority w:val="0"/>
    <w:tblPr>
      <w:tblCellMar>
        <w:top w:w="0" w:type="dxa"/>
        <w:left w:w="108" w:type="dxa"/>
        <w:bottom w:w="0" w:type="dxa"/>
        <w:right w:w="108" w:type="dxa"/>
      </w:tblCellMar>
    </w:tblPr>
  </w:style>
  <w:style w:type="paragraph" w:customStyle="1" w:styleId="29">
    <w:name w:val="Definition Term"/>
    <w:basedOn w:val="1"/>
    <w:next w:val="30"/>
    <w:qFormat/>
    <w:uiPriority w:val="0"/>
    <w:pPr>
      <w:keepNext/>
      <w:keepLines/>
      <w:spacing w:after="0"/>
    </w:pPr>
    <w:rPr>
      <w:b/>
    </w:rPr>
  </w:style>
  <w:style w:type="paragraph" w:customStyle="1" w:styleId="30">
    <w:name w:val="Definition"/>
    <w:basedOn w:val="1"/>
    <w:qFormat/>
    <w:uiPriority w:val="0"/>
  </w:style>
  <w:style w:type="paragraph" w:customStyle="1" w:styleId="31">
    <w:name w:val="Table Caption"/>
    <w:basedOn w:val="12"/>
    <w:qFormat/>
    <w:uiPriority w:val="0"/>
    <w:pPr>
      <w:keepNext/>
    </w:pPr>
  </w:style>
  <w:style w:type="paragraph" w:customStyle="1" w:styleId="32">
    <w:name w:val="Image Caption"/>
    <w:basedOn w:val="12"/>
    <w:uiPriority w:val="0"/>
  </w:style>
  <w:style w:type="paragraph" w:customStyle="1" w:styleId="33">
    <w:name w:val="Figure"/>
    <w:basedOn w:val="1"/>
    <w:qFormat/>
    <w:uiPriority w:val="0"/>
  </w:style>
  <w:style w:type="paragraph" w:customStyle="1" w:styleId="34">
    <w:name w:val="Captioned Figure"/>
    <w:basedOn w:val="33"/>
    <w:uiPriority w:val="0"/>
    <w:pPr>
      <w:keepNext/>
    </w:pPr>
  </w:style>
  <w:style w:type="character" w:customStyle="1" w:styleId="35">
    <w:name w:val="Verbatim Char"/>
    <w:basedOn w:val="21"/>
    <w:link w:val="36"/>
    <w:qFormat/>
    <w:uiPriority w:val="0"/>
    <w:rPr>
      <w:rFonts w:ascii="Consolas" w:hAnsi="Consolas"/>
      <w:sz w:val="22"/>
    </w:rPr>
  </w:style>
  <w:style w:type="paragraph" w:customStyle="1" w:styleId="36">
    <w:name w:val="Source Code"/>
    <w:basedOn w:val="1"/>
    <w:link w:val="35"/>
    <w:qFormat/>
    <w:uiPriority w:val="0"/>
    <w:pPr>
      <w:wordWrap w:val="0"/>
    </w:pPr>
  </w:style>
  <w:style w:type="paragraph" w:customStyle="1" w:styleId="37">
    <w:name w:val="TOC Heading"/>
    <w:basedOn w:val="2"/>
    <w:next w:val="3"/>
    <w:unhideWhenUsed/>
    <w:qFormat/>
    <w:uiPriority w:val="39"/>
    <w:pPr>
      <w:spacing w:before="240" w:line="259" w:lineRule="auto"/>
      <w:outlineLvl w:val="9"/>
    </w:pPr>
    <w:rPr>
      <w:rFonts w:asciiTheme="majorHAnsi" w:hAnsiTheme="majorHAnsi" w:eastAsiaTheme="majorEastAsia" w:cstheme="majorBidi"/>
      <w:b w:val="0"/>
      <w:bCs w:val="0"/>
      <w:color w:val="366091" w:themeColor="accent1" w:themeShade="BF"/>
    </w:rPr>
  </w:style>
  <w:style w:type="character" w:customStyle="1" w:styleId="38">
    <w:name w:val="KeywordTok"/>
    <w:basedOn w:val="35"/>
    <w:uiPriority w:val="0"/>
    <w:rPr>
      <w:b/>
      <w:color w:val="007020"/>
    </w:rPr>
  </w:style>
  <w:style w:type="character" w:customStyle="1" w:styleId="39">
    <w:name w:val="DataTypeTok"/>
    <w:basedOn w:val="35"/>
    <w:qFormat/>
    <w:uiPriority w:val="0"/>
    <w:rPr>
      <w:color w:val="902000"/>
    </w:rPr>
  </w:style>
  <w:style w:type="character" w:customStyle="1" w:styleId="40">
    <w:name w:val="DecValTok"/>
    <w:basedOn w:val="35"/>
    <w:uiPriority w:val="0"/>
    <w:rPr>
      <w:color w:val="40A070"/>
    </w:rPr>
  </w:style>
  <w:style w:type="character" w:customStyle="1" w:styleId="41">
    <w:name w:val="BaseNTok"/>
    <w:basedOn w:val="35"/>
    <w:qFormat/>
    <w:uiPriority w:val="0"/>
    <w:rPr>
      <w:color w:val="40A070"/>
    </w:rPr>
  </w:style>
  <w:style w:type="character" w:customStyle="1" w:styleId="42">
    <w:name w:val="FloatTok"/>
    <w:basedOn w:val="35"/>
    <w:uiPriority w:val="0"/>
    <w:rPr>
      <w:color w:val="40A070"/>
    </w:rPr>
  </w:style>
  <w:style w:type="character" w:customStyle="1" w:styleId="43">
    <w:name w:val="ConstantTok"/>
    <w:basedOn w:val="35"/>
    <w:qFormat/>
    <w:uiPriority w:val="0"/>
    <w:rPr>
      <w:color w:val="880000"/>
    </w:rPr>
  </w:style>
  <w:style w:type="character" w:customStyle="1" w:styleId="44">
    <w:name w:val="CharTok"/>
    <w:basedOn w:val="35"/>
    <w:qFormat/>
    <w:uiPriority w:val="0"/>
    <w:rPr>
      <w:color w:val="4070A0"/>
    </w:rPr>
  </w:style>
  <w:style w:type="character" w:customStyle="1" w:styleId="45">
    <w:name w:val="SpecialCharTok"/>
    <w:basedOn w:val="35"/>
    <w:qFormat/>
    <w:uiPriority w:val="0"/>
    <w:rPr>
      <w:color w:val="4070A0"/>
    </w:rPr>
  </w:style>
  <w:style w:type="character" w:customStyle="1" w:styleId="46">
    <w:name w:val="StringTok"/>
    <w:basedOn w:val="35"/>
    <w:qFormat/>
    <w:uiPriority w:val="0"/>
    <w:rPr>
      <w:color w:val="4070A0"/>
    </w:rPr>
  </w:style>
  <w:style w:type="character" w:customStyle="1" w:styleId="47">
    <w:name w:val="VerbatimStringTok"/>
    <w:basedOn w:val="35"/>
    <w:qFormat/>
    <w:uiPriority w:val="0"/>
    <w:rPr>
      <w:color w:val="4070A0"/>
    </w:rPr>
  </w:style>
  <w:style w:type="character" w:customStyle="1" w:styleId="48">
    <w:name w:val="SpecialStringTok"/>
    <w:basedOn w:val="35"/>
    <w:qFormat/>
    <w:uiPriority w:val="0"/>
    <w:rPr>
      <w:color w:val="BB6688"/>
    </w:rPr>
  </w:style>
  <w:style w:type="character" w:customStyle="1" w:styleId="49">
    <w:name w:val="ImportTok"/>
    <w:basedOn w:val="35"/>
    <w:qFormat/>
    <w:uiPriority w:val="0"/>
  </w:style>
  <w:style w:type="character" w:customStyle="1" w:styleId="50">
    <w:name w:val="CommentTok"/>
    <w:basedOn w:val="35"/>
    <w:uiPriority w:val="0"/>
    <w:rPr>
      <w:i/>
      <w:color w:val="60A0B0"/>
    </w:rPr>
  </w:style>
  <w:style w:type="character" w:customStyle="1" w:styleId="51">
    <w:name w:val="DocumentationTok"/>
    <w:basedOn w:val="35"/>
    <w:qFormat/>
    <w:uiPriority w:val="0"/>
    <w:rPr>
      <w:i/>
      <w:color w:val="BA2121"/>
    </w:rPr>
  </w:style>
  <w:style w:type="character" w:customStyle="1" w:styleId="52">
    <w:name w:val="AnnotationTok"/>
    <w:basedOn w:val="35"/>
    <w:qFormat/>
    <w:uiPriority w:val="0"/>
    <w:rPr>
      <w:b/>
      <w:i/>
      <w:color w:val="60A0B0"/>
    </w:rPr>
  </w:style>
  <w:style w:type="character" w:customStyle="1" w:styleId="53">
    <w:name w:val="CommentVarTok"/>
    <w:basedOn w:val="35"/>
    <w:uiPriority w:val="0"/>
    <w:rPr>
      <w:b/>
      <w:i/>
      <w:color w:val="60A0B0"/>
    </w:rPr>
  </w:style>
  <w:style w:type="character" w:customStyle="1" w:styleId="54">
    <w:name w:val="OtherTok"/>
    <w:basedOn w:val="35"/>
    <w:qFormat/>
    <w:uiPriority w:val="0"/>
    <w:rPr>
      <w:color w:val="007020"/>
    </w:rPr>
  </w:style>
  <w:style w:type="character" w:customStyle="1" w:styleId="55">
    <w:name w:val="FunctionTok"/>
    <w:basedOn w:val="35"/>
    <w:uiPriority w:val="0"/>
    <w:rPr>
      <w:color w:val="06287E"/>
    </w:rPr>
  </w:style>
  <w:style w:type="character" w:customStyle="1" w:styleId="56">
    <w:name w:val="VariableTok"/>
    <w:basedOn w:val="35"/>
    <w:qFormat/>
    <w:uiPriority w:val="0"/>
    <w:rPr>
      <w:color w:val="19177C"/>
    </w:rPr>
  </w:style>
  <w:style w:type="character" w:customStyle="1" w:styleId="57">
    <w:name w:val="ControlFlowTok"/>
    <w:basedOn w:val="35"/>
    <w:uiPriority w:val="0"/>
    <w:rPr>
      <w:b/>
      <w:color w:val="007020"/>
    </w:rPr>
  </w:style>
  <w:style w:type="character" w:customStyle="1" w:styleId="58">
    <w:name w:val="OperatorTok"/>
    <w:basedOn w:val="35"/>
    <w:qFormat/>
    <w:uiPriority w:val="0"/>
    <w:rPr>
      <w:color w:val="666666"/>
    </w:rPr>
  </w:style>
  <w:style w:type="character" w:customStyle="1" w:styleId="59">
    <w:name w:val="BuiltInTok"/>
    <w:basedOn w:val="35"/>
    <w:qFormat/>
    <w:uiPriority w:val="0"/>
  </w:style>
  <w:style w:type="character" w:customStyle="1" w:styleId="60">
    <w:name w:val="ExtensionTok"/>
    <w:basedOn w:val="35"/>
    <w:qFormat/>
    <w:uiPriority w:val="0"/>
  </w:style>
  <w:style w:type="character" w:customStyle="1" w:styleId="61">
    <w:name w:val="PreprocessorTok"/>
    <w:basedOn w:val="35"/>
    <w:qFormat/>
    <w:uiPriority w:val="0"/>
    <w:rPr>
      <w:color w:val="BC7A00"/>
    </w:rPr>
  </w:style>
  <w:style w:type="character" w:customStyle="1" w:styleId="62">
    <w:name w:val="AttributeTok"/>
    <w:basedOn w:val="35"/>
    <w:qFormat/>
    <w:uiPriority w:val="0"/>
    <w:rPr>
      <w:color w:val="7D9029"/>
    </w:rPr>
  </w:style>
  <w:style w:type="character" w:customStyle="1" w:styleId="63">
    <w:name w:val="RegionMarkerTok"/>
    <w:basedOn w:val="35"/>
    <w:qFormat/>
    <w:uiPriority w:val="0"/>
  </w:style>
  <w:style w:type="character" w:customStyle="1" w:styleId="64">
    <w:name w:val="InformationTok"/>
    <w:basedOn w:val="35"/>
    <w:qFormat/>
    <w:uiPriority w:val="0"/>
    <w:rPr>
      <w:b/>
      <w:i/>
      <w:color w:val="60A0B0"/>
    </w:rPr>
  </w:style>
  <w:style w:type="character" w:customStyle="1" w:styleId="65">
    <w:name w:val="WarningTok"/>
    <w:basedOn w:val="35"/>
    <w:qFormat/>
    <w:uiPriority w:val="0"/>
    <w:rPr>
      <w:b/>
      <w:i/>
      <w:color w:val="60A0B0"/>
    </w:rPr>
  </w:style>
  <w:style w:type="character" w:customStyle="1" w:styleId="66">
    <w:name w:val="AlertTok"/>
    <w:basedOn w:val="35"/>
    <w:qFormat/>
    <w:uiPriority w:val="0"/>
    <w:rPr>
      <w:b/>
      <w:color w:val="FF0000"/>
    </w:rPr>
  </w:style>
  <w:style w:type="character" w:customStyle="1" w:styleId="67">
    <w:name w:val="ErrorTok"/>
    <w:basedOn w:val="35"/>
    <w:qFormat/>
    <w:uiPriority w:val="0"/>
    <w:rPr>
      <w:b/>
      <w:color w:val="FF0000"/>
    </w:rPr>
  </w:style>
  <w:style w:type="character" w:customStyle="1" w:styleId="68">
    <w:name w:val="NormalTok"/>
    <w:basedOn w:val="35"/>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83</Words>
  <Characters>475</Characters>
  <Lines>12</Lines>
  <Paragraphs>8</Paragraphs>
  <TotalTime>7</TotalTime>
  <ScaleCrop>false</ScaleCrop>
  <LinksUpToDate>false</LinksUpToDate>
  <CharactersWithSpaces>583</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2020-12-05T03:54:00Z</dcterms:created>
  <dc:creator>一心报国</dc:creator>
  <dc:description>百度文库</dc:description>
  <cp:lastModifiedBy>一心报国</cp:lastModifiedBy>
  <dcterms:modified xsi:type="dcterms:W3CDTF">2020-12-05T03:56:05Z</dcterms:modified>
  <dc:title>临时用电培训内容及试卷（附答案） - 百度文库</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le-mobile-web-app-capable">
    <vt:lpwstr>yes</vt:lpwstr>
  </property>
  <property fmtid="{D5CDD505-2E9C-101B-9397-08002B2CF9AE}" pid="3" name="apple-mobile-web-app-status-bar-style">
    <vt:lpwstr>black</vt:lpwstr>
  </property>
  <property fmtid="{D5CDD505-2E9C-101B-9397-08002B2CF9AE}" pid="4" name="format-detection">
    <vt:lpwstr/>
  </property>
  <property fmtid="{D5CDD505-2E9C-101B-9397-08002B2CF9AE}" pid="5" name="referrer">
    <vt:lpwstr>never</vt:lpwstr>
  </property>
  <property fmtid="{D5CDD505-2E9C-101B-9397-08002B2CF9AE}" pid="6" name="viewport">
    <vt:lpwstr>width=device-width,minimum-scale=1.0,maximum-scale=1.0,user-scalable=no,viewport-fit=cover</vt:lpwstr>
  </property>
  <property fmtid="{D5CDD505-2E9C-101B-9397-08002B2CF9AE}" pid="7" name="KSOProductBuildVer">
    <vt:lpwstr>2052-11.1.0.10132</vt:lpwstr>
  </property>
</Properties>
</file>